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Минюсте России 20 августа 2014 г. N 33691</w:t>
      </w:r>
    </w:p>
    <w:p w:rsidR="0097464D" w:rsidRPr="0097464D" w:rsidRDefault="0097464D" w:rsidP="0097464D">
      <w:pPr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6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999" stroked="f"/>
        </w:pic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МИНИСТЕРСТВО ОБРАЗОВАНИЯ И НАУКИ РОССИЙСКОЙ ФЕДЕРАЦИИ</w:t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ПРИКАЗ</w:t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от 30 июля 2014 г. N 899</w:t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 УТВЕРЖДЕНИИ</w:t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ФЕДЕРАЛЬНОГО ГОСУДАРСТВЕННОГО ОБРАЗОВАТЕЛЬНОГО СТАНДАРТА</w:t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 ПО НАПРАВЛЕНИЮ ПОДГОТОВКИ 39.06.01</w:t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СОЦИОЛОГИЧЕСКИЕ НАУКИ (УРОВЕНЬ ПОДГОТОВКИ КАДРОВ</w:t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ВЫСШЕЙ КВАЛИФИКАЦИИ)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4" w:history="1">
        <w:r w:rsidRPr="0097464D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подпунктом 5.2.41</w:t>
        </w:r>
      </w:hyperlink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N 27, ст. 3776), и </w:t>
      </w:r>
      <w:hyperlink r:id="rId5" w:history="1">
        <w:r w:rsidRPr="0097464D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17</w:t>
        </w:r>
      </w:hyperlink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97464D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стандарт</w:t>
        </w:r>
      </w:hyperlink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 высшего образования по направлению подготовки 39.06.01 Социологические науки (уровень подготовки кадров высшей квалификации).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сентября 2014 года.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Д.В.ЛИВАНОВ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приказом Министерства образования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и науки Российской Федерации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от 30 июля 2014 г. N 899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ФЕДЕРАЛЬНЫЙ ГОСУДАРСТВЕННЫЙ ОБРАЗОВАТЕЛЬНЫЙ СТАНДАРТ</w:t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</w:t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УРОВЕНЬ ВЫСШЕГО ОБРАЗОВАНИЯ</w:t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ПОДГОТОВКА КАДРОВ ВЫСШЕЙ КВАЛИФИКАЦИИ</w:t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br/>
        <w:t>НАПРАВЛЕНИЕ ПОДГОТОВКИ</w:t>
      </w:r>
      <w:r w:rsidRPr="0097464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39.06.01 СОЦИОЛОГИЧЕСКИЕ НАУКИ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I. ОБЛАСТЬ ПРИМЕНЕНИЯ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39.06.01 Социологические науки" (далее соответственно - программа аспирантуры, направление подготовки).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II. ИСПОЛЬЗУЕМЫЕ СОКРАЩЕНИЯ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высшее образование;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УК - универсальные компетенции;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ОПК -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ПК - профессиональные компетенции;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сетевая форма - сетевая форма реализации образовательных программ.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III. ХАРАКТЕРИСТИКА НАПРАВЛЕНИЯ ПОДГОТОВКИ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программы аспирантуры составляет 180 зачетных единиц (далее -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3.3. Срок получения образования по программе аспирантуры: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не может составлять более 75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. за один учебный год.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3.5. Реализация программы аспирантуры возможна с использованием сетевой формы.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IV. ХАРАКТЕРИСТИКА ПРОФЕССИОНАЛЬНОЙ ДЕЯТЕЛЬНОСТИ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ВЫПУСКНИКОВ, ОСВОИВШИХ ПРОГРАММУ АСПИРАНТУРЫ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4.1. Область профессиональной деятельности выпускников, освоивших программу аспирантуры, включает научно-исследовательскую деятельность в следующих областях: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теория, методология и история социологии;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социальная структура, социальные институты и процессы;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экономическая социология и демография;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социология управления;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социология культуры, духовной жизни;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политическая социология.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4.2. Объектами профессиональной деятельности выпускников, освоивших программу аспирантуры, являются: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теории, раскрывающие сущность социальных процессов и отношений на различных уровнях социальной организации, общественных явлений, закономерностей общественного развития, механизмов социальных изменений в общемировом пространстве, в российском обществе и в региональных социальных пространствах, переходных эпох, стран, регионов, социальных общностей, сфер общественной жизни, социальных систем;</w:t>
      </w:r>
      <w:proofErr w:type="gramEnd"/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реальные социальные явления, связи, институты и процессы в глобальных, региональных и иных социально-экономических, социально-политических и социально-культурных системах, социальные процессы и структуры на макр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микроуровнях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, социальные общности и социальные отношения внутри этих общностей и между ними, их отражение в общественном сознании, а также результаты и способы воздействия на социальные общности и социальные отношения;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процессы социально-научного исследования, включающие методологию, методы и инструменты проведения научных исследований, техники анализа и систематизации информации, разработку моделей исследуемых процессов, явлений и объектов профессиональной деятельности, механизмы прогнозирования, проектирования и оптимизации социальных показателей, процессов и отношений, разработку методологии и инструментальных сре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я социологического анализа в соответствии с условиями, целями и задачами.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преподавательская деятельность по образовательным программам высшего образования.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V. ТРЕБОВАНИЯ К РЕЗУЛЬТАТАМ ОСВОЕНИЯ ПРОГРАММЫ АСПИРАНТУРЫ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универсальные компетенции, не зависящие от конкретного направления подготовки;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компетенции, определяемые направлением подготовки;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способностью следовать этическим нормам в профессиональной деятельности (УК-5);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общепрофессиональными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компетенциями: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способностью задавать, транслировать правовые и этические нормы в профессиональной и социальной деятельности (ОПК-1);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способностью определять, транслировать общие цели в профессиональной и социальной деятельности (ОПК-2);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способностью использовать механизмы прогнозирования и проектирования инновационного развития социальных систем (ОПК-6);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преподавательской деятельности по основным образовательным программам высшего образования (ОПК-7)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  <w:proofErr w:type="gramEnd"/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7" w:history="1">
        <w:r w:rsidRPr="0097464D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 5.2.73(3)</w:t>
        </w:r>
      </w:hyperlink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N 27, ст. 3776).</w:t>
      </w:r>
      <w:proofErr w:type="gramEnd"/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VI. ТРЕБОВАНИЯ К СТРУКТУРЕ ПРОГРАММЫ АСПИРАНТУРЫ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6.2. Программа аспирантуры состоит из следующих блоков: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1. "Дисциплины (модули)",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2. "Практики",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3. "Научно-исследовательская работа",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 аспирантуры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36"/>
        <w:gridCol w:w="1379"/>
      </w:tblGrid>
      <w:tr w:rsidR="0097464D" w:rsidRPr="0097464D" w:rsidTr="0097464D">
        <w:trPr>
          <w:trHeight w:val="700"/>
        </w:trPr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элемента программы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(в </w:t>
            </w:r>
            <w:proofErr w:type="spellStart"/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97464D" w:rsidRPr="0097464D" w:rsidTr="0097464D">
        <w:trPr>
          <w:trHeight w:val="380"/>
        </w:trPr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anchor="p149" w:tooltip="Ссылка на текущий документ" w:history="1">
              <w:r w:rsidRPr="0097464D">
                <w:rPr>
                  <w:rFonts w:ascii="Times New Roman" w:eastAsia="Times New Roman" w:hAnsi="Times New Roman" w:cs="Times New Roman"/>
                  <w:color w:val="666699"/>
                  <w:u w:val="single"/>
                  <w:lang w:eastAsia="ru-RU"/>
                </w:rPr>
                <w:t>Блок 1</w:t>
              </w:r>
            </w:hyperlink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"Дисциплины (модули)"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97464D" w:rsidRPr="0097464D" w:rsidTr="0097464D">
        <w:trPr>
          <w:trHeight w:val="380"/>
        </w:trPr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7464D" w:rsidRPr="0097464D" w:rsidTr="0097464D"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464D" w:rsidRPr="0097464D" w:rsidRDefault="0097464D" w:rsidP="0097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464D" w:rsidRPr="0097464D" w:rsidTr="0097464D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 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97464D" w:rsidRPr="0097464D" w:rsidTr="0097464D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anchor="p155" w:tooltip="Ссылка на текущий документ" w:history="1">
              <w:r w:rsidRPr="0097464D">
                <w:rPr>
                  <w:rFonts w:ascii="Times New Roman" w:eastAsia="Times New Roman" w:hAnsi="Times New Roman" w:cs="Times New Roman"/>
                  <w:color w:val="666699"/>
                  <w:u w:val="single"/>
                  <w:lang w:eastAsia="ru-RU"/>
                </w:rPr>
                <w:t>Блок 2</w:t>
              </w:r>
            </w:hyperlink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"Практики"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97464D" w:rsidRPr="0097464D" w:rsidTr="0097464D"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464D" w:rsidRPr="0097464D" w:rsidRDefault="0097464D" w:rsidP="0097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464D" w:rsidRPr="0097464D" w:rsidTr="0097464D"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anchor="p162" w:tooltip="Ссылка на текущий документ" w:history="1">
              <w:r w:rsidRPr="0097464D">
                <w:rPr>
                  <w:rFonts w:ascii="Times New Roman" w:eastAsia="Times New Roman" w:hAnsi="Times New Roman" w:cs="Times New Roman"/>
                  <w:color w:val="666699"/>
                  <w:u w:val="single"/>
                  <w:lang w:eastAsia="ru-RU"/>
                </w:rPr>
                <w:t>Блок 3</w:t>
              </w:r>
            </w:hyperlink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464D" w:rsidRPr="0097464D" w:rsidRDefault="0097464D" w:rsidP="0097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464D" w:rsidRPr="0097464D" w:rsidTr="0097464D"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464D" w:rsidRPr="0097464D" w:rsidRDefault="0097464D" w:rsidP="0097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464D" w:rsidRPr="0097464D" w:rsidTr="0097464D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anchor="p164" w:tooltip="Ссылка на текущий документ" w:history="1">
              <w:r w:rsidRPr="0097464D">
                <w:rPr>
                  <w:rFonts w:ascii="Times New Roman" w:eastAsia="Times New Roman" w:hAnsi="Times New Roman" w:cs="Times New Roman"/>
                  <w:color w:val="666699"/>
                  <w:u w:val="single"/>
                  <w:lang w:eastAsia="ru-RU"/>
                </w:rPr>
                <w:t>Блок 4</w:t>
              </w:r>
            </w:hyperlink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"Государственная итоговая аттестация"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7464D" w:rsidRPr="0097464D" w:rsidTr="0097464D"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7464D" w:rsidRPr="0097464D" w:rsidRDefault="0097464D" w:rsidP="0097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464D" w:rsidRPr="0097464D" w:rsidTr="0097464D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программы аспирантуры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7464D" w:rsidRPr="0097464D" w:rsidRDefault="0097464D" w:rsidP="0097464D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</w:tbl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12" w:history="1">
        <w:r w:rsidRPr="0097464D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3</w:t>
        </w:r>
      </w:hyperlink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практика является обязательной.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Способы проведения практики: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стационарная;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выездная.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Практика может проводиться в структурных подразделениях организации.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VII. ТРЕБОВАНИЯ К УСЛОВИЯМ РЕАЛИЗАЦИИ ПРОГРАММЫ АСПИРАНТУРЫ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7.1. Общесистемные требования к реализации программы аспирантуры.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7.1.1.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вне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Электронная информационно-образовательная среда организации должна обеспечивать: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электронного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&lt;1&gt; Федеральный </w:t>
      </w:r>
      <w:hyperlink r:id="rId13" w:history="1">
        <w:r w:rsidRPr="0097464D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N 23, ст. 2870; N 27, ст. 3479; N 52, ст. 6961; N 52, ст. 6963), Федеральный </w:t>
      </w:r>
      <w:hyperlink r:id="rId14" w:history="1">
        <w:r w:rsidRPr="0097464D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7.1.5.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 </w:t>
      </w:r>
      <w:hyperlink r:id="rId15" w:history="1">
        <w:r w:rsidRPr="0097464D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раздел</w:t>
        </w:r>
      </w:hyperlink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 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20237), и профессиональным стандартам (при наличии).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7.1.7.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Scopus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16" w:history="1">
        <w:r w:rsidRPr="0097464D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пункту 12</w:t>
        </w:r>
      </w:hyperlink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 Положения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17" w:history="1">
        <w:r w:rsidRPr="0097464D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4</w:t>
        </w:r>
      </w:hyperlink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7.2. Требования к кадровым условиям реализации программы аспирантуры.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7.2.2.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7.2.3.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7.3. Требования к материально-техническому и учебно-методическому обеспечению программы аспирантуры.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7.3.4.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97464D" w:rsidRPr="0097464D" w:rsidRDefault="0097464D" w:rsidP="0097464D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7.4. Требования к финансовому обеспечению программы аспирантуры.</w:t>
      </w:r>
    </w:p>
    <w:p w:rsidR="0097464D" w:rsidRPr="0097464D" w:rsidRDefault="0097464D" w:rsidP="0097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7.4.1. </w:t>
      </w:r>
      <w:proofErr w:type="gramStart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8" w:history="1">
        <w:r w:rsidRPr="0097464D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Методикой</w:t>
        </w:r>
      </w:hyperlink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97464D" w:rsidRDefault="0097464D" w:rsidP="0097464D">
      <w:pPr>
        <w:jc w:val="both"/>
        <w:rPr>
          <w:rFonts w:ascii="Times New Roman" w:hAnsi="Times New Roman" w:cs="Times New Roman"/>
        </w:rPr>
      </w:pP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9" w:history="1">
        <w:r w:rsidRPr="0097464D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http://www.consultant.ru/document/cons_doc_LAW_167952/</w:t>
        </w:r>
      </w:hyperlink>
      <w:r w:rsidRPr="0097464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46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9746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КонсультантПлюс</w:t>
      </w:r>
      <w:proofErr w:type="spellEnd"/>
      <w:r w:rsidRPr="009746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1992-2014</w:t>
      </w:r>
    </w:p>
    <w:sectPr w:rsidR="0028398F" w:rsidRPr="0097464D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464D"/>
    <w:rsid w:val="0028398F"/>
    <w:rsid w:val="006D4A6D"/>
    <w:rsid w:val="0097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974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64D"/>
  </w:style>
  <w:style w:type="character" w:styleId="a4">
    <w:name w:val="Hyperlink"/>
    <w:basedOn w:val="a0"/>
    <w:uiPriority w:val="99"/>
    <w:semiHidden/>
    <w:unhideWhenUsed/>
    <w:rsid w:val="00974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7952/" TargetMode="External"/><Relationship Id="rId13" Type="http://schemas.openxmlformats.org/officeDocument/2006/relationships/hyperlink" Target="http://www.consultant.ru/document/cons_doc_LAW_165971/" TargetMode="External"/><Relationship Id="rId18" Type="http://schemas.openxmlformats.org/officeDocument/2006/relationships/hyperlink" Target="http://www.consultant.ru/document/cons_doc_LAW_152100/?dst=10001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66742/?dst=100030" TargetMode="External"/><Relationship Id="rId17" Type="http://schemas.openxmlformats.org/officeDocument/2006/relationships/hyperlink" Target="http://www.consultant.ru/document/cons_doc_LAW_150568/?dst=100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6742/?dst=10005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7952/" TargetMode="External"/><Relationship Id="rId11" Type="http://schemas.openxmlformats.org/officeDocument/2006/relationships/hyperlink" Target="http://www.consultant.ru/document/cons_doc_LAW_167952/" TargetMode="External"/><Relationship Id="rId5" Type="http://schemas.openxmlformats.org/officeDocument/2006/relationships/hyperlink" Target="http://www.consultant.ru/document/cons_doc_LAW_150567/?dst=100042" TargetMode="External"/><Relationship Id="rId15" Type="http://schemas.openxmlformats.org/officeDocument/2006/relationships/hyperlink" Target="http://www.consultant.ru/document/cons_doc_LAW_112416/?dst=100010" TargetMode="External"/><Relationship Id="rId10" Type="http://schemas.openxmlformats.org/officeDocument/2006/relationships/hyperlink" Target="http://www.consultant.ru/document/cons_doc_LAW_167952/" TargetMode="External"/><Relationship Id="rId19" Type="http://schemas.openxmlformats.org/officeDocument/2006/relationships/hyperlink" Target="http://www.consultant.ru/document/cons_doc_LAW_167952/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7952/" TargetMode="External"/><Relationship Id="rId14" Type="http://schemas.openxmlformats.org/officeDocument/2006/relationships/hyperlink" Target="http://www.consultant.ru/document/cons_doc_LAW_163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4103</Words>
  <Characters>23392</Characters>
  <Application>Microsoft Office Word</Application>
  <DocSecurity>0</DocSecurity>
  <Lines>194</Lines>
  <Paragraphs>54</Paragraphs>
  <ScaleCrop>false</ScaleCrop>
  <Company/>
  <LinksUpToDate>false</LinksUpToDate>
  <CharactersWithSpaces>27441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2014-09-10T04:17:00Z</dcterms:created>
  <dcterms:modified xsi:type="dcterms:W3CDTF">2014-09-10T04:22:00Z</dcterms:modified>
</cp:coreProperties>
</file>